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 to review any wording highlighted yellow only in this Schedule and amend accordingly]</w:t>
      </w: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Buyer to confirm if Key Subcontractor assets should be covered or not and delete wording highlighted yellow accordingly</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tbl>
      <w:tblPr>
        <w:tblStyle w:val="Table1"/>
        <w:tblW w:w="8287.0" w:type="dxa"/>
        <w:jc w:val="left"/>
        <w:tblInd w:w="709.0" w:type="dxa"/>
        <w:tblLayout w:type="fixed"/>
        <w:tblLook w:val="0000"/>
      </w:tblPr>
      <w:tblGrid>
        <w:gridCol w:w="2835"/>
        <w:gridCol w:w="5452"/>
        <w:tblGridChange w:id="0">
          <w:tblGrid>
            <w:gridCol w:w="2835"/>
            <w:gridCol w:w="5452"/>
          </w:tblGrid>
        </w:tblGridChange>
      </w:tblGrid>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F">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1">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8">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Services, including in relation to licences all relevant Documentation;</w:t>
            </w:r>
          </w:p>
        </w:tc>
      </w:tr>
      <w:t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1F">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Paragraph ‎9.2.1 of this Schedule;</w:t>
            </w:r>
          </w:p>
        </w:tc>
      </w:tr>
      <w:t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Paragraph ‎9.2.3 of this Schedule.</w:t>
            </w:r>
          </w:p>
        </w:tc>
      </w:tr>
    </w:tbl>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0j0zll" w:id="1"/>
      <w:bookmarkEnd w:id="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rdcrjn" w:id="11"/>
      <w:bookmarkEnd w:id="1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proposals for the training of key members of the Buyer’s or a Replacement Supplier’s staff in connection with the continuation of the provision of the Deliverables following the Expiry Date;</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Buyer to review and, if required, amend the timescales highlighted yellow in this paragraph 4.4</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bookmarkStart w:colFirst="0" w:colLast="0" w:name="_heading=h.lnxbz9" w:id="13"/>
      <w:bookmarkEnd w:id="1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ksv4uv" w:id="15"/>
      <w:bookmarkEnd w:id="1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w:t>
      </w:r>
      <w:r w:rsidDel="00000000" w:rsidR="00000000" w:rsidRPr="00000000">
        <w:rPr>
          <w:rFonts w:ascii="Arial" w:cs="Arial" w:eastAsia="Arial" w:hAnsi="Arial"/>
          <w:sz w:val="24"/>
          <w:szCs w:val="24"/>
          <w:rtl w:val="0"/>
        </w:rPr>
        <w:t xml:space="preserve">in one or more extensions, in each case provided that:</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vd2gsc2nnv5g" w:id="16"/>
      <w:bookmarkEnd w:id="16"/>
      <w:r w:rsidDel="00000000" w:rsidR="00000000" w:rsidRPr="00000000">
        <w:rPr>
          <w:rFonts w:ascii="Arial" w:cs="Arial" w:eastAsia="Arial" w:hAnsi="Arial"/>
          <w:sz w:val="24"/>
          <w:szCs w:val="24"/>
          <w:rtl w:val="0"/>
        </w:rPr>
        <w:t xml:space="preserve">No 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uch extension shall extend </w:t>
      </w:r>
      <w:r w:rsidDel="00000000" w:rsidR="00000000" w:rsidRPr="00000000">
        <w:rPr>
          <w:rFonts w:ascii="Arial" w:cs="Arial" w:eastAsia="Arial" w:hAnsi="Arial"/>
          <w:sz w:val="24"/>
          <w:szCs w:val="24"/>
          <w:rtl w:val="0"/>
        </w:rPr>
        <w:t xml:space="preserve">beyond the date twelve (12) Months after the date that the Supplier ceases to provide the Deliverables; and</w:t>
      </w:r>
    </w:p>
    <w:p w:rsidR="00000000" w:rsidDel="00000000" w:rsidP="00000000" w:rsidRDefault="00000000" w:rsidRPr="00000000" w14:paraId="0000004D">
      <w:pPr>
        <w:numPr>
          <w:ilvl w:val="2"/>
          <w:numId w:val="1"/>
        </w:numPr>
        <w:spacing w:after="240" w:before="240" w:line="240" w:lineRule="auto"/>
        <w:ind w:left="1588" w:hanging="868"/>
        <w:rPr>
          <w:rFonts w:ascii="Arial" w:cs="Arial" w:eastAsia="Arial" w:hAnsi="Arial"/>
          <w:sz w:val="24"/>
          <w:szCs w:val="24"/>
        </w:rPr>
      </w:pPr>
      <w:bookmarkStart w:colFirst="0" w:colLast="0" w:name="_heading=h.vd2gsc2nnv5g" w:id="16"/>
      <w:bookmarkEnd w:id="16"/>
      <w:r w:rsidDel="00000000" w:rsidR="00000000" w:rsidRPr="00000000">
        <w:rPr>
          <w:rFonts w:ascii="Arial" w:cs="Arial" w:eastAsia="Arial" w:hAnsi="Arial"/>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4E">
      <w:pPr>
        <w:numPr>
          <w:ilvl w:val="1"/>
          <w:numId w:val="1"/>
        </w:numPr>
        <w:spacing w:after="240" w:before="240" w:line="240" w:lineRule="auto"/>
        <w:ind w:left="720"/>
        <w:rPr>
          <w:sz w:val="24"/>
          <w:szCs w:val="24"/>
        </w:rPr>
      </w:pPr>
      <w:bookmarkStart w:colFirst="0" w:colLast="0" w:name="_heading=h.t325caxo5om7" w:id="17"/>
      <w:bookmarkEnd w:id="17"/>
      <w:r w:rsidDel="00000000" w:rsidR="00000000" w:rsidRPr="00000000">
        <w:rPr>
          <w:rFonts w:ascii="Arial" w:cs="Arial" w:eastAsia="Arial" w:hAnsi="Arial"/>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4F">
      <w:pPr>
        <w:numPr>
          <w:ilvl w:val="1"/>
          <w:numId w:val="1"/>
        </w:numPr>
        <w:spacing w:after="240" w:before="240" w:line="240" w:lineRule="auto"/>
        <w:ind w:left="720"/>
        <w:rPr>
          <w:sz w:val="24"/>
          <w:szCs w:val="24"/>
        </w:rPr>
      </w:pPr>
      <w:bookmarkStart w:colFirst="0" w:colLast="0" w:name="_heading=h.t325caxo5om7" w:id="17"/>
      <w:bookmarkEnd w:id="17"/>
      <w:r w:rsidDel="00000000" w:rsidR="00000000" w:rsidRPr="00000000">
        <w:rPr>
          <w:rFonts w:ascii="Arial" w:cs="Arial" w:eastAsia="Arial" w:hAnsi="Arial"/>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jc w:val="left"/>
        <w:rPr>
          <w:rFonts w:ascii="Arial" w:cs="Arial" w:eastAsia="Arial" w:hAnsi="Arial"/>
          <w:i w:val="0"/>
          <w:smallCaps w:val="0"/>
          <w:strike w:val="0"/>
          <w:color w:val="000000"/>
          <w:sz w:val="24"/>
          <w:szCs w:val="24"/>
          <w:shd w:fill="auto" w:val="clear"/>
          <w:vertAlign w:val="baseline"/>
        </w:rPr>
      </w:pPr>
      <w:bookmarkStart w:colFirst="0" w:colLast="0" w:name="_heading=h.y2mld2sez627"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1">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44sinio" w:id="19"/>
      <w:bookmarkEnd w:id="1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2jxsxqh" w:id="20"/>
      <w:bookmarkEnd w:id="2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21"/>
      <w:bookmarkEnd w:id="2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3j2qqm3" w:id="22"/>
      <w:bookmarkEnd w:id="2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y810tw" w:id="23"/>
      <w:bookmarkEnd w:id="2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prior to exit</w:t>
      </w:r>
      <w:r w:rsidDel="00000000" w:rsidR="00000000" w:rsidRPr="00000000">
        <w:rPr>
          <w:rtl w:val="0"/>
        </w:rPr>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12 Months prior to the expiry or termination of this Contract, the Supplier shall provide to the Buyer:</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updated Call-Off Contract checklist (clearly outlining where things have changed during the lifetime of the Call-Off Contract e.g. preferred payment terms, policy for use of first class travel, rail ticket fulfilment default choice etc.);</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named Supplier personnel who will work with the Buyer to develop and implement the agreed exit strategy;</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 Traveller profiles, including, but not limited to, staff number, email address and contact number;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spend volume and transaction numbers broken down air, accommodation, venue, rail and other services;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payment methods used;</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booking policies;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6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all live bookings, including, but not limited to, live bookings that will continue after expiry or termination, together with refunds, changes and exchanges; and</w:t>
      </w:r>
    </w:p>
    <w:p w:rsidR="00000000" w:rsidDel="00000000" w:rsidP="00000000" w:rsidRDefault="00000000" w:rsidRPr="00000000" w14:paraId="0000006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other information that is specific to the Buyer in connection with the provision of the Services,</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"Final Data Set"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6">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 Months prior to the expiry or termination of this Contract, the Supplier shall provide to the Buyer a refreshed Final Data Set, to capture any bookings that had a longer lead time.</w:t>
      </w:r>
    </w:p>
    <w:p w:rsidR="00000000" w:rsidDel="00000000" w:rsidP="00000000" w:rsidRDefault="00000000" w:rsidRPr="00000000" w14:paraId="0000006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4i7ojhp" w:id="24"/>
      <w:bookmarkEnd w:id="2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xcytpi" w:id="25"/>
      <w:bookmarkEnd w:id="2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the Buyer with the notices, information and assistance in relation to staff transfers and pensions as more particularly described in Call-Off Schedule 2 (Staff Transfer);</w:t>
      </w:r>
    </w:p>
    <w:p w:rsidR="00000000" w:rsidDel="00000000" w:rsidP="00000000" w:rsidRDefault="00000000" w:rsidRPr="00000000" w14:paraId="0000006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the Buyer and the Replacement Supplier with details of all profiles and all bookings with a travel date greater than 8 weeks from the expiry or termination date or the end of the Termination Assistance Period and all spend and savings data. However, in the event that a Replacement Supplier has a different global distribution system to the Supplier, and no transfer of passenger name records can be technically or legally achieved, then an alternative, appropriate plan will need to be developed. This plan, which may include, but will not be limited to, encouraging Bookers to withhold making bookings until implementation is complete, or having tickets issued with the Supplier prior to the transfer. All care should be taken to ensure that where possible, the chosen action does not result in increased fares or rates for the Buyer;</w:t>
      </w:r>
    </w:p>
    <w:p w:rsidR="00000000" w:rsidDel="00000000" w:rsidP="00000000" w:rsidRDefault="00000000" w:rsidRPr="00000000" w14:paraId="0000006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venue find, provide the following information, as a minimum, to any Replacement Supplier appointed: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full list of Bookers including up to date contact details;</w:t>
      </w:r>
    </w:p>
    <w:p w:rsidR="00000000" w:rsidDel="00000000" w:rsidP="00000000" w:rsidRDefault="00000000" w:rsidRPr="00000000" w14:paraId="0000007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spend volume and transaction levels (previous 12 Months);</w:t>
      </w:r>
    </w:p>
    <w:p w:rsidR="00000000" w:rsidDel="00000000" w:rsidP="00000000" w:rsidRDefault="00000000" w:rsidRPr="00000000" w14:paraId="0000007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frequently used locations/venues (previous 12 Months);</w:t>
      </w:r>
    </w:p>
    <w:p w:rsidR="00000000" w:rsidDel="00000000" w:rsidP="00000000" w:rsidRDefault="00000000" w:rsidRPr="00000000" w14:paraId="0000007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agreed payment method(s);</w:t>
      </w:r>
    </w:p>
    <w:p w:rsidR="00000000" w:rsidDel="00000000" w:rsidP="00000000" w:rsidRDefault="00000000" w:rsidRPr="00000000" w14:paraId="0000007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bookmarkStart w:colFirst="0" w:colLast="0" w:name="_heading=h.1ci93xb" w:id="26"/>
      <w:bookmarkEnd w:id="2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Buyer’s Travel/Expenses/Meeting Policy(ies); and </w:t>
      </w:r>
    </w:p>
    <w:p w:rsidR="00000000" w:rsidDel="00000000" w:rsidP="00000000" w:rsidRDefault="00000000" w:rsidRPr="00000000" w14:paraId="0000007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booking method(s);</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venue find, cleanse all data and transfer it to any Replacement Supplier;</w:t>
      </w:r>
    </w:p>
    <w:p w:rsidR="00000000" w:rsidDel="00000000" w:rsidP="00000000" w:rsidRDefault="00000000" w:rsidRPr="00000000" w14:paraId="00000076">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3whwml4" w:id="27"/>
      <w:bookmarkEnd w:id="2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the Buyer with paid invoices that have come in after the expiry or termination date of the Call-Off Contract; and</w:t>
      </w:r>
    </w:p>
    <w:p w:rsidR="00000000" w:rsidDel="00000000" w:rsidP="00000000" w:rsidRDefault="00000000" w:rsidRPr="00000000" w14:paraId="00000077">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7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bookmarkStart w:colFirst="0" w:colLast="0" w:name="_heading=h.2bn6wsx" w:id="28"/>
      <w:bookmarkEnd w:id="2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7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qsh70q" w:id="29"/>
      <w:bookmarkEnd w:id="2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 the Supplier shall work together in relation to the expiry and/or termination of this Contract, including in relation to any expiry or termination dates and related exist assistance identified. </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Upon termination or expiry (as the case may be) or at the end of the Termination Assistance Period (or earlier if this does not adversely affect the Supplier's performance of the Services and the Termination Assistance and its compliance with the other provisions of this Schedule):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 and</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 require all current and historic data and all profiles to be permanently deleted and, unless specifically requested otherwise by the Buyer, transferred by the Supplier to a Replacement Supplier and the Supplier shall transfer and then destroy such data at no extra cost to the Buyer. The Supplier shall confirm in writing when all data has been transferred and then destroyed. </w:t>
      </w:r>
    </w:p>
    <w:p w:rsidR="00000000" w:rsidDel="00000000" w:rsidP="00000000" w:rsidRDefault="00000000" w:rsidRPr="00000000" w14:paraId="0000007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8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as4poj" w:id="30"/>
      <w:bookmarkEnd w:id="3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8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8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pxezwc" w:id="31"/>
      <w:bookmarkEnd w:id="3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32"/>
      <w:bookmarkEnd w:id="3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bookmarkStart w:colFirst="0" w:colLast="0" w:name="bookmark=id.2p2csry" w:id="33"/>
    <w:bookmarkEnd w:id="33"/>
    <w:p w:rsidR="00000000" w:rsidDel="00000000" w:rsidP="00000000" w:rsidRDefault="00000000" w:rsidRPr="00000000" w14:paraId="00000085">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bookmarkStart w:colFirst="0" w:colLast="0" w:name="_heading=h.147n2zr" w:id="34"/>
      <w:bookmarkEnd w:id="3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8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8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552" w:right="0" w:hanging="964"/>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212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8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5"/>
      <w:bookmarkEnd w:id="3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709" w:right="0" w:hanging="709"/>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Services.</w:t>
      </w:r>
    </w:p>
    <w:p w:rsidR="00000000" w:rsidDel="00000000" w:rsidP="00000000" w:rsidRDefault="00000000" w:rsidRPr="00000000" w14:paraId="0000008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23ckvvd" w:id="36"/>
      <w:bookmarkEnd w:id="3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8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8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ihv636" w:id="37"/>
      <w:bookmarkEnd w:id="3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8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9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32hioqz" w:id="38"/>
      <w:bookmarkEnd w:id="3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9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1hmsyys" w:id="39"/>
      <w:bookmarkEnd w:id="3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9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9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9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9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40"/>
      <w:bookmarkEnd w:id="4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‎9.6 in relation to any matters arising prior to the date of assignment or novation of such Transferring Contract. Clause 19 (Other people's rights in this contract) shall not apply to this Paragraph ‎9.9 which is intended to be enforceable by Third Parties Beneficiaries by virtue of the CRTPA.</w:t>
      </w:r>
    </w:p>
    <w:p w:rsidR="00000000" w:rsidDel="00000000" w:rsidP="00000000" w:rsidRDefault="00000000" w:rsidRPr="00000000" w14:paraId="0000009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grqrue" w:id="41"/>
      <w:bookmarkEnd w:id="4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9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9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9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i w:val="0"/>
          <w:smallCaps w:val="0"/>
          <w:strike w:val="0"/>
          <w:color w:val="000000"/>
          <w:sz w:val="24"/>
          <w:szCs w:val="24"/>
          <w:shd w:fill="auto" w:val="clear"/>
          <w:vertAlign w:val="baseline"/>
        </w:rPr>
      </w:pPr>
      <w:bookmarkStart w:colFirst="0" w:colLast="0" w:name="_heading=h.vx1227" w:id="42"/>
      <w:bookmarkEnd w:id="4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9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588" w:right="0" w:hanging="86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9D">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RM6164</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588" w:hanging="867.9999999999999"/>
      </w:pPr>
      <w:rPr>
        <w:b w:val="0"/>
        <w:i w:val="0"/>
        <w:smallCaps w:val="0"/>
        <w:strike w:val="0"/>
        <w:color w:val="000000"/>
        <w:u w:val="none"/>
        <w:vertAlign w:val="baseline"/>
      </w:rPr>
    </w:lvl>
    <w:lvl w:ilvl="3">
      <w:start w:val="1"/>
      <w:numFmt w:val="lowerLetter"/>
      <w:lvlText w:val="(%4)"/>
      <w:lvlJc w:val="left"/>
      <w:pPr>
        <w:ind w:left="2552" w:hanging="964.0000000000002"/>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rsid w:val="007532BE"/>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Default" w:customStyle="1">
    <w:name w:val="Default"/>
    <w:rsid w:val="00A75DE2"/>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C+tstk/8FhcrmJ07JTOAhSeX3g==">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2019-11-17T14:11:00Z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DocType">
    <vt:lpwstr>DOC</vt:lpwstr>
  </property>
  <property fmtid="{D5CDD505-2E9C-101B-9397-08002B2CF9AE}" pid="8" name="ClientID">
    <vt:lpwstr>NEW</vt:lpwstr>
  </property>
  <property fmtid="{D5CDD505-2E9C-101B-9397-08002B2CF9AE}" pid="9" name="MatterID">
    <vt:lpwstr>NEW</vt:lpwstr>
  </property>
</Properties>
</file>